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1C" w:rsidRDefault="002A111C" w:rsidP="002A111C">
      <w:pPr>
        <w:rPr>
          <w:rFonts w:ascii="宋体" w:hAnsi="宋体" w:hint="eastAsia"/>
          <w:b/>
          <w:sz w:val="36"/>
          <w:szCs w:val="36"/>
        </w:rPr>
      </w:pPr>
      <w:r>
        <w:rPr>
          <w:rFonts w:ascii="宋体" w:hAnsi="宋体" w:hint="eastAsia"/>
          <w:b/>
          <w:color w:val="244061"/>
          <w:kern w:val="0"/>
          <w:sz w:val="36"/>
          <w:szCs w:val="36"/>
        </w:rPr>
        <w:t xml:space="preserve">            旅游购物安排补充协议书</w:t>
      </w:r>
    </w:p>
    <w:p w:rsidR="002A111C" w:rsidRDefault="002A111C" w:rsidP="002A111C">
      <w:pPr>
        <w:pStyle w:val="HTML1"/>
        <w:spacing w:line="315" w:lineRule="atLeast"/>
        <w:textAlignment w:val="baseline"/>
        <w:rPr>
          <w:rFonts w:ascii="微软雅黑" w:eastAsia="微软雅黑" w:hAnsi="微软雅黑" w:cs="微软雅黑" w:hint="eastAsia"/>
          <w:color w:val="333333"/>
          <w:kern w:val="0"/>
          <w:sz w:val="18"/>
          <w:szCs w:val="18"/>
        </w:rPr>
      </w:pPr>
      <w:r>
        <w:rPr>
          <w:rFonts w:ascii="微软雅黑" w:eastAsia="微软雅黑" w:hAnsi="微软雅黑" w:cs="微软雅黑" w:hint="eastAsia"/>
          <w:color w:val="333333"/>
          <w:kern w:val="0"/>
          <w:sz w:val="18"/>
          <w:szCs w:val="18"/>
        </w:rPr>
        <w:t>甲方（旅行社）：                           _</w:t>
      </w:r>
    </w:p>
    <w:p w:rsidR="002A111C" w:rsidRDefault="002A111C" w:rsidP="002A111C">
      <w:pPr>
        <w:pStyle w:val="HTML1"/>
        <w:spacing w:line="315" w:lineRule="atLeast"/>
        <w:textAlignment w:val="baseline"/>
        <w:rPr>
          <w:rFonts w:ascii="微软雅黑" w:eastAsia="微软雅黑" w:hAnsi="微软雅黑" w:cs="微软雅黑" w:hint="eastAsia"/>
          <w:color w:val="333333"/>
          <w:kern w:val="0"/>
          <w:sz w:val="18"/>
          <w:szCs w:val="18"/>
        </w:rPr>
      </w:pPr>
      <w:r>
        <w:rPr>
          <w:rFonts w:ascii="微软雅黑" w:eastAsia="微软雅黑" w:hAnsi="微软雅黑" w:cs="微软雅黑" w:hint="eastAsia"/>
          <w:color w:val="333333"/>
          <w:kern w:val="0"/>
          <w:sz w:val="18"/>
          <w:szCs w:val="18"/>
        </w:rPr>
        <w:t>乙方（旅游者）：_____________________________</w:t>
      </w:r>
    </w:p>
    <w:p w:rsidR="002A111C" w:rsidRDefault="002A111C" w:rsidP="002A111C">
      <w:pPr>
        <w:ind w:firstLineChars="100" w:firstLine="180"/>
        <w:rPr>
          <w:rFonts w:ascii="微软雅黑" w:eastAsia="微软雅黑" w:hAnsi="微软雅黑" w:cs="微软雅黑" w:hint="eastAsia"/>
          <w:color w:val="333333"/>
          <w:kern w:val="0"/>
          <w:sz w:val="28"/>
          <w:szCs w:val="28"/>
        </w:rPr>
      </w:pPr>
      <w:r>
        <w:rPr>
          <w:rFonts w:ascii="微软雅黑" w:eastAsia="微软雅黑" w:hAnsi="微软雅黑" w:cs="微软雅黑" w:hint="eastAsia"/>
          <w:color w:val="333333"/>
          <w:kern w:val="0"/>
          <w:sz w:val="18"/>
          <w:szCs w:val="18"/>
        </w:rPr>
        <w:t>根据《旅游法》第35条规定“旅行社安排具体购物场所需应旅游者要求或经双方协商一致且不影响其他旅游者的行程安排”，因此在本次旅行过程，本旅行社应旅游者（乙方）要求并双方协商一致，由甲方协助安排乙方旅游购物场所，具体约定如下：</w:t>
      </w:r>
    </w:p>
    <w:p w:rsidR="002A111C" w:rsidRDefault="002A111C" w:rsidP="002A111C">
      <w:pPr>
        <w:jc w:val="center"/>
        <w:rPr>
          <w:rFonts w:ascii="宋体" w:hAnsi="宋体" w:hint="eastAsia"/>
          <w:b/>
          <w:color w:val="244061"/>
          <w:kern w:val="0"/>
          <w:sz w:val="28"/>
          <w:szCs w:val="28"/>
        </w:rPr>
      </w:pPr>
      <w:r>
        <w:rPr>
          <w:rFonts w:ascii="微软雅黑" w:eastAsia="微软雅黑" w:hAnsi="微软雅黑" w:cs="微软雅黑" w:hint="eastAsia"/>
          <w:color w:val="333333"/>
          <w:kern w:val="0"/>
          <w:sz w:val="28"/>
          <w:szCs w:val="28"/>
        </w:rPr>
        <w:t>购物场所简述及安排</w:t>
      </w:r>
    </w:p>
    <w:tbl>
      <w:tblPr>
        <w:tblW w:w="8621" w:type="dxa"/>
        <w:jc w:val="center"/>
        <w:tblInd w:w="1462" w:type="dxa"/>
        <w:tblBorders>
          <w:top w:val="single" w:sz="18" w:space="0" w:color="96686F"/>
          <w:left w:val="single" w:sz="18" w:space="0" w:color="96686F"/>
          <w:bottom w:val="single" w:sz="18" w:space="0" w:color="96686F"/>
          <w:right w:val="single" w:sz="18" w:space="0" w:color="96686F"/>
          <w:insideH w:val="dotted" w:sz="4" w:space="0" w:color="96686F"/>
          <w:insideV w:val="dotted" w:sz="4" w:space="0" w:color="96686F"/>
        </w:tblBorders>
        <w:tblLayout w:type="fixed"/>
        <w:tblLook w:val="0000"/>
      </w:tblPr>
      <w:tblGrid>
        <w:gridCol w:w="1985"/>
        <w:gridCol w:w="3469"/>
        <w:gridCol w:w="1277"/>
        <w:gridCol w:w="1890"/>
      </w:tblGrid>
      <w:tr w:rsidR="002A111C" w:rsidTr="002A111C">
        <w:trPr>
          <w:jc w:val="center"/>
        </w:trPr>
        <w:tc>
          <w:tcPr>
            <w:tcW w:w="1985" w:type="dxa"/>
            <w:shd w:val="clear" w:color="auto" w:fill="96686F"/>
          </w:tcPr>
          <w:p w:rsidR="002A111C" w:rsidRDefault="002A111C" w:rsidP="00BB23BF">
            <w:pPr>
              <w:jc w:val="center"/>
              <w:rPr>
                <w:rFonts w:ascii="宋体" w:hAnsi="宋体"/>
                <w:b/>
                <w:color w:val="FFFFFF"/>
                <w:kern w:val="0"/>
                <w:szCs w:val="21"/>
              </w:rPr>
            </w:pPr>
            <w:r>
              <w:rPr>
                <w:rFonts w:ascii="宋体" w:hAnsi="宋体" w:hint="eastAsia"/>
                <w:b/>
                <w:color w:val="FFFFFF"/>
                <w:kern w:val="0"/>
                <w:szCs w:val="21"/>
              </w:rPr>
              <w:t>购物场所名称</w:t>
            </w:r>
          </w:p>
        </w:tc>
        <w:tc>
          <w:tcPr>
            <w:tcW w:w="3469" w:type="dxa"/>
            <w:shd w:val="clear" w:color="auto" w:fill="96686F"/>
          </w:tcPr>
          <w:p w:rsidR="002A111C" w:rsidRDefault="002A111C" w:rsidP="00BB23BF">
            <w:pPr>
              <w:jc w:val="center"/>
              <w:rPr>
                <w:rFonts w:ascii="宋体" w:hAnsi="宋体"/>
                <w:b/>
                <w:color w:val="FFFFFF"/>
                <w:kern w:val="0"/>
                <w:szCs w:val="21"/>
              </w:rPr>
            </w:pPr>
            <w:r>
              <w:rPr>
                <w:rFonts w:ascii="宋体" w:hAnsi="宋体" w:hint="eastAsia"/>
                <w:b/>
                <w:color w:val="FFFFFF"/>
                <w:kern w:val="0"/>
                <w:szCs w:val="21"/>
              </w:rPr>
              <w:t>产品介绍</w:t>
            </w:r>
          </w:p>
        </w:tc>
        <w:tc>
          <w:tcPr>
            <w:tcW w:w="1277" w:type="dxa"/>
            <w:shd w:val="clear" w:color="auto" w:fill="96686F"/>
          </w:tcPr>
          <w:p w:rsidR="002A111C" w:rsidRDefault="002A111C" w:rsidP="00BB23BF">
            <w:pPr>
              <w:jc w:val="center"/>
              <w:rPr>
                <w:rFonts w:ascii="宋体" w:hAnsi="宋体"/>
                <w:b/>
                <w:color w:val="FFFFFF"/>
                <w:kern w:val="0"/>
                <w:szCs w:val="21"/>
              </w:rPr>
            </w:pPr>
            <w:r>
              <w:rPr>
                <w:rFonts w:ascii="宋体" w:hAnsi="宋体" w:hint="eastAsia"/>
                <w:b/>
                <w:color w:val="FFFFFF"/>
                <w:kern w:val="0"/>
                <w:szCs w:val="21"/>
              </w:rPr>
              <w:t>停留时间</w:t>
            </w:r>
          </w:p>
        </w:tc>
        <w:tc>
          <w:tcPr>
            <w:tcW w:w="1890" w:type="dxa"/>
            <w:shd w:val="clear" w:color="auto" w:fill="96686F"/>
          </w:tcPr>
          <w:p w:rsidR="002A111C" w:rsidRDefault="002A111C" w:rsidP="00BB23BF">
            <w:pPr>
              <w:jc w:val="center"/>
              <w:rPr>
                <w:rFonts w:ascii="宋体" w:hAnsi="宋体"/>
                <w:b/>
                <w:color w:val="FFFFFF"/>
                <w:kern w:val="0"/>
                <w:szCs w:val="21"/>
              </w:rPr>
            </w:pPr>
            <w:r>
              <w:rPr>
                <w:rFonts w:ascii="宋体" w:hAnsi="宋体" w:hint="eastAsia"/>
                <w:b/>
                <w:color w:val="FFFFFF"/>
                <w:kern w:val="0"/>
                <w:szCs w:val="21"/>
              </w:rPr>
              <w:t>备注</w:t>
            </w:r>
          </w:p>
        </w:tc>
      </w:tr>
      <w:tr w:rsidR="002A111C" w:rsidTr="002A111C">
        <w:trPr>
          <w:jc w:val="center"/>
        </w:trPr>
        <w:tc>
          <w:tcPr>
            <w:tcW w:w="1985" w:type="dxa"/>
            <w:vAlign w:val="center"/>
          </w:tcPr>
          <w:p w:rsidR="002A111C" w:rsidRDefault="002A111C" w:rsidP="00BB23BF">
            <w:pPr>
              <w:spacing w:line="260" w:lineRule="exact"/>
              <w:rPr>
                <w:rFonts w:ascii="宋体" w:hAnsi="宋体"/>
                <w:color w:val="002060"/>
                <w:sz w:val="18"/>
                <w:szCs w:val="18"/>
              </w:rPr>
            </w:pPr>
            <w:r>
              <w:rPr>
                <w:rFonts w:ascii="宋体" w:hAnsi="宋体" w:hint="eastAsia"/>
                <w:b/>
                <w:bCs/>
                <w:color w:val="000000"/>
                <w:sz w:val="18"/>
                <w:szCs w:val="18"/>
              </w:rPr>
              <w:t>城市</w:t>
            </w:r>
          </w:p>
        </w:tc>
        <w:tc>
          <w:tcPr>
            <w:tcW w:w="3469" w:type="dxa"/>
            <w:vAlign w:val="center"/>
          </w:tcPr>
          <w:p w:rsidR="002A111C" w:rsidRDefault="002A111C" w:rsidP="00BB23BF">
            <w:pPr>
              <w:spacing w:line="260" w:lineRule="exact"/>
              <w:rPr>
                <w:rFonts w:ascii="宋体" w:hAnsi="宋体"/>
                <w:color w:val="002060"/>
                <w:sz w:val="18"/>
                <w:szCs w:val="18"/>
              </w:rPr>
            </w:pPr>
            <w:r>
              <w:rPr>
                <w:rFonts w:ascii="宋体" w:hAnsi="宋体" w:hint="eastAsia"/>
                <w:b/>
                <w:bCs/>
                <w:color w:val="000000"/>
                <w:sz w:val="18"/>
                <w:szCs w:val="18"/>
              </w:rPr>
              <w:t>商店名称</w:t>
            </w:r>
          </w:p>
        </w:tc>
        <w:tc>
          <w:tcPr>
            <w:tcW w:w="1277" w:type="dxa"/>
            <w:vAlign w:val="center"/>
          </w:tcPr>
          <w:p w:rsidR="002A111C" w:rsidRDefault="002A111C" w:rsidP="00BB23BF">
            <w:pPr>
              <w:spacing w:line="260" w:lineRule="exact"/>
              <w:rPr>
                <w:rFonts w:ascii="宋体" w:hAnsi="宋体"/>
                <w:color w:val="002060"/>
                <w:sz w:val="18"/>
                <w:szCs w:val="18"/>
              </w:rPr>
            </w:pPr>
            <w:r>
              <w:rPr>
                <w:rFonts w:ascii="宋体" w:hAnsi="宋体" w:hint="eastAsia"/>
                <w:b/>
                <w:bCs/>
                <w:color w:val="000000"/>
                <w:sz w:val="18"/>
                <w:szCs w:val="18"/>
              </w:rPr>
              <w:t>主要商品</w:t>
            </w:r>
          </w:p>
        </w:tc>
        <w:tc>
          <w:tcPr>
            <w:tcW w:w="1890" w:type="dxa"/>
            <w:vAlign w:val="center"/>
          </w:tcPr>
          <w:p w:rsidR="002A111C" w:rsidRDefault="002A111C" w:rsidP="00BB23BF">
            <w:pPr>
              <w:spacing w:line="260" w:lineRule="exact"/>
              <w:rPr>
                <w:rFonts w:ascii="宋体" w:hAnsi="宋体"/>
                <w:color w:val="002060"/>
                <w:sz w:val="18"/>
                <w:szCs w:val="18"/>
              </w:rPr>
            </w:pPr>
            <w:r>
              <w:rPr>
                <w:rFonts w:ascii="宋体" w:hAnsi="宋体" w:hint="eastAsia"/>
                <w:b/>
                <w:bCs/>
                <w:color w:val="000000"/>
                <w:sz w:val="18"/>
                <w:szCs w:val="18"/>
              </w:rPr>
              <w:t>时间</w:t>
            </w:r>
          </w:p>
        </w:tc>
      </w:tr>
      <w:tr w:rsidR="002A111C" w:rsidTr="002A111C">
        <w:trPr>
          <w:jc w:val="center"/>
        </w:trPr>
        <w:tc>
          <w:tcPr>
            <w:tcW w:w="1985" w:type="dxa"/>
            <w:vMerge w:val="restart"/>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rPr>
              <w:t>开罗</w:t>
            </w:r>
          </w:p>
        </w:tc>
        <w:tc>
          <w:tcPr>
            <w:tcW w:w="3469" w:type="dxa"/>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lang w:val="zh-CN"/>
              </w:rPr>
              <w:t>GOLDEN EAGLE</w:t>
            </w:r>
          </w:p>
        </w:tc>
        <w:tc>
          <w:tcPr>
            <w:tcW w:w="1277" w:type="dxa"/>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rPr>
              <w:t>香精</w:t>
            </w:r>
          </w:p>
        </w:tc>
        <w:tc>
          <w:tcPr>
            <w:tcW w:w="1890" w:type="dxa"/>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rPr>
              <w:t>约1小时</w:t>
            </w:r>
          </w:p>
        </w:tc>
      </w:tr>
      <w:tr w:rsidR="002A111C" w:rsidTr="002A111C">
        <w:trPr>
          <w:jc w:val="center"/>
        </w:trPr>
        <w:tc>
          <w:tcPr>
            <w:tcW w:w="1985" w:type="dxa"/>
            <w:vMerge/>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p>
        </w:tc>
        <w:tc>
          <w:tcPr>
            <w:tcW w:w="3469" w:type="dxa"/>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rPr>
              <w:t>GOLDEN EAGLE</w:t>
            </w:r>
          </w:p>
        </w:tc>
        <w:tc>
          <w:tcPr>
            <w:tcW w:w="1277" w:type="dxa"/>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rPr>
              <w:t>纸莎草画</w:t>
            </w:r>
          </w:p>
        </w:tc>
        <w:tc>
          <w:tcPr>
            <w:tcW w:w="1890" w:type="dxa"/>
            <w:vAlign w:val="center"/>
          </w:tcPr>
          <w:p w:rsidR="002A111C" w:rsidRDefault="002A111C" w:rsidP="00BB23BF">
            <w:pPr>
              <w:tabs>
                <w:tab w:val="left" w:pos="252"/>
              </w:tabs>
              <w:adjustRightInd w:val="0"/>
              <w:snapToGrid w:val="0"/>
              <w:spacing w:line="400" w:lineRule="exact"/>
              <w:ind w:rightChars="34" w:right="71"/>
              <w:rPr>
                <w:rFonts w:ascii="宋体" w:hAnsi="宋体" w:hint="eastAsia"/>
                <w:bCs/>
                <w:color w:val="244061"/>
                <w:sz w:val="18"/>
                <w:szCs w:val="18"/>
              </w:rPr>
            </w:pPr>
            <w:r>
              <w:rPr>
                <w:rFonts w:ascii="宋体" w:hAnsi="宋体" w:hint="eastAsia"/>
                <w:bCs/>
                <w:color w:val="244061"/>
                <w:sz w:val="18"/>
                <w:szCs w:val="18"/>
              </w:rPr>
              <w:t>约1小时</w:t>
            </w:r>
          </w:p>
        </w:tc>
      </w:tr>
    </w:tbl>
    <w:p w:rsidR="002A111C" w:rsidRDefault="002A111C" w:rsidP="002A111C">
      <w:pPr>
        <w:rPr>
          <w:rFonts w:ascii="微软雅黑" w:eastAsia="微软雅黑" w:hAnsi="微软雅黑" w:cs="微软雅黑" w:hint="eastAsia"/>
          <w:color w:val="333333"/>
          <w:kern w:val="0"/>
          <w:sz w:val="18"/>
          <w:szCs w:val="18"/>
        </w:rPr>
      </w:pP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相关约定</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本补充协议的签订及履行必须是基于应旅游者要求且经双方协商一致并确认的前提下方可；甲方或其派出的带团导游不得有任何欺骗或强迫旅游者的行为，如有发生前述行为，旅游者有权拒绝前往并可向组团</w:t>
      </w:r>
      <w:proofErr w:type="gramStart"/>
      <w:r>
        <w:rPr>
          <w:rFonts w:ascii="宋体" w:hAnsi="宋体" w:hint="eastAsia"/>
          <w:color w:val="002060"/>
          <w:sz w:val="18"/>
          <w:szCs w:val="18"/>
        </w:rPr>
        <w:t>社投诉</w:t>
      </w:r>
      <w:proofErr w:type="gramEnd"/>
      <w:r>
        <w:rPr>
          <w:rFonts w:ascii="宋体" w:hAnsi="宋体" w:hint="eastAsia"/>
          <w:color w:val="002060"/>
          <w:sz w:val="18"/>
          <w:szCs w:val="18"/>
        </w:rPr>
        <w:t>或依法向国家相关部门举报。</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本协议的履行双方均需确认是在不影响团队正常行程安排或不影响同团其他旅游者（即需妥善安排</w:t>
      </w:r>
      <w:proofErr w:type="gramStart"/>
      <w:r>
        <w:rPr>
          <w:rFonts w:ascii="宋体" w:hAnsi="宋体" w:hint="eastAsia"/>
          <w:color w:val="002060"/>
          <w:sz w:val="18"/>
          <w:szCs w:val="18"/>
        </w:rPr>
        <w:t>不</w:t>
      </w:r>
      <w:proofErr w:type="gramEnd"/>
      <w:r>
        <w:rPr>
          <w:rFonts w:ascii="宋体" w:hAnsi="宋体" w:hint="eastAsia"/>
          <w:color w:val="002060"/>
          <w:sz w:val="18"/>
          <w:szCs w:val="18"/>
        </w:rPr>
        <w:t>前往购物场所的旅游者）的前提下方可。</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本协议约定下由甲方协助安排乙方前往的购物场所，甲方承诺该购物场所售卖的产品不存在假冒伪劣产品。</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本协议约定下由甲方协助安排乙方前往的购物场所，可能因地区差异及进货渠道等原因其售卖产品的销售价格甲方不能保证是与市</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场同类产品价格是一致的，因此甲方郑重提醒前往购物的旅游者谨慎选择是否购买。</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旅游者在购买产品时请主动向购物场所需要发票或售卖单据以做凭证。</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旅行社行程单中的景点、餐厅、长途中途休息站等以内及周边购物点不属于安排的购物场所，旅行社不建议购买，如购买商品出现质量问题，旅行社不承担任何责任。</w:t>
      </w:r>
    </w:p>
    <w:p w:rsidR="002A111C" w:rsidRDefault="002A111C" w:rsidP="002A111C">
      <w:pPr>
        <w:numPr>
          <w:ilvl w:val="0"/>
          <w:numId w:val="1"/>
        </w:num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本协议一式二份，双方各执一份，甲方为旅行社，乙方为旅游者本人（18岁以下未成年人需监护人签名）。</w:t>
      </w:r>
    </w:p>
    <w:p w:rsidR="002A111C" w:rsidRDefault="002A111C" w:rsidP="002A111C">
      <w:pPr>
        <w:tabs>
          <w:tab w:val="left" w:pos="72"/>
        </w:tabs>
        <w:spacing w:line="400" w:lineRule="exact"/>
        <w:ind w:rightChars="34" w:right="71"/>
        <w:rPr>
          <w:rFonts w:ascii="宋体" w:hAnsi="宋体" w:hint="eastAsia"/>
          <w:color w:val="002060"/>
          <w:sz w:val="18"/>
          <w:szCs w:val="18"/>
        </w:rPr>
      </w:pPr>
    </w:p>
    <w:p w:rsidR="002A111C" w:rsidRDefault="002A111C" w:rsidP="002A111C">
      <w:pPr>
        <w:tabs>
          <w:tab w:val="left" w:pos="72"/>
        </w:tabs>
        <w:spacing w:line="400" w:lineRule="exact"/>
        <w:ind w:rightChars="34" w:right="71"/>
        <w:rPr>
          <w:rFonts w:ascii="宋体" w:hAnsi="宋体" w:hint="eastAsia"/>
          <w:color w:val="002060"/>
          <w:sz w:val="18"/>
          <w:szCs w:val="18"/>
        </w:rPr>
      </w:pP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 xml:space="preserve">甲方：              旅行社                                   乙方（旅游者签名）：             </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 xml:space="preserve">电话：                                                       电话：                          </w:t>
      </w:r>
    </w:p>
    <w:p w:rsidR="002A111C" w:rsidRDefault="002A111C" w:rsidP="002A111C">
      <w:pPr>
        <w:tabs>
          <w:tab w:val="left" w:pos="72"/>
        </w:tabs>
        <w:spacing w:line="400" w:lineRule="exact"/>
        <w:ind w:rightChars="34" w:right="71"/>
        <w:rPr>
          <w:rFonts w:ascii="宋体" w:hAnsi="宋体" w:hint="eastAsia"/>
          <w:b/>
          <w:color w:val="244061"/>
          <w:kern w:val="0"/>
          <w:sz w:val="36"/>
          <w:szCs w:val="36"/>
        </w:rPr>
      </w:pPr>
      <w:r>
        <w:rPr>
          <w:rFonts w:ascii="宋体" w:hAnsi="宋体" w:hint="eastAsia"/>
          <w:color w:val="002060"/>
          <w:sz w:val="18"/>
          <w:szCs w:val="18"/>
        </w:rPr>
        <w:t>日期：     年    月     日                                   日期：     年    月     日</w:t>
      </w:r>
    </w:p>
    <w:p w:rsidR="002A111C" w:rsidRDefault="002A111C" w:rsidP="002A111C">
      <w:pPr>
        <w:rPr>
          <w:rFonts w:ascii="宋体" w:hAnsi="宋体" w:hint="eastAsia"/>
          <w:b/>
          <w:color w:val="244061"/>
          <w:kern w:val="0"/>
          <w:sz w:val="36"/>
          <w:szCs w:val="36"/>
        </w:rPr>
      </w:pPr>
    </w:p>
    <w:p w:rsidR="002A111C" w:rsidRDefault="002A111C" w:rsidP="002A111C">
      <w:pPr>
        <w:ind w:firstLineChars="795" w:firstLine="2873"/>
        <w:rPr>
          <w:rFonts w:ascii="宋体" w:hAnsi="宋体" w:hint="eastAsia"/>
          <w:b/>
          <w:color w:val="244061"/>
          <w:kern w:val="0"/>
          <w:sz w:val="36"/>
          <w:szCs w:val="36"/>
        </w:rPr>
      </w:pPr>
      <w:r>
        <w:rPr>
          <w:rFonts w:ascii="宋体" w:hAnsi="宋体" w:hint="eastAsia"/>
          <w:b/>
          <w:color w:val="244061"/>
          <w:kern w:val="0"/>
          <w:sz w:val="36"/>
          <w:szCs w:val="36"/>
        </w:rPr>
        <w:t xml:space="preserve">  </w:t>
      </w:r>
    </w:p>
    <w:p w:rsidR="002A111C" w:rsidRDefault="002A111C" w:rsidP="002A111C">
      <w:pPr>
        <w:ind w:firstLineChars="545" w:firstLine="1970"/>
        <w:rPr>
          <w:rFonts w:ascii="宋体" w:hAnsi="宋体" w:hint="eastAsia"/>
          <w:b/>
          <w:color w:val="244061"/>
          <w:kern w:val="0"/>
          <w:sz w:val="36"/>
          <w:szCs w:val="36"/>
        </w:rPr>
      </w:pPr>
      <w:r>
        <w:rPr>
          <w:rFonts w:ascii="宋体" w:hAnsi="宋体" w:hint="eastAsia"/>
          <w:b/>
          <w:color w:val="244061"/>
          <w:kern w:val="0"/>
          <w:sz w:val="36"/>
          <w:szCs w:val="36"/>
        </w:rPr>
        <w:lastRenderedPageBreak/>
        <w:t>自费项目报名补充协议</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 xml:space="preserve">甲方（旅行社）：                           </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乙方（旅游者）：_____________________________</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 xml:space="preserve">    为丰富旅游者的娱乐活动及满足不同旅行社的需求，旅行社在不影响正常旅程行程安排的前提下，旅行社提供自费景点（娱乐）项目供旅游者自行选择参加与否。根据《旅游法》第35条规定“旅行社安排另行付费旅游项目需是应旅游者要求或经双方协商一致且不影响其他旅客的行程安排”，因此在本次旅行过程，</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旅行社应旅游者（乙方）要求并经双方协商一致，由甲方协助安排乙方参加自费旅游项目，双方确认签署本协议，具体约定如下：</w:t>
      </w:r>
    </w:p>
    <w:p w:rsidR="002A111C" w:rsidRDefault="002A111C" w:rsidP="002A111C">
      <w:pPr>
        <w:numPr>
          <w:ilvl w:val="0"/>
          <w:numId w:val="2"/>
        </w:num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自费旅游项目简述及安排</w:t>
      </w:r>
    </w:p>
    <w:tbl>
      <w:tblPr>
        <w:tblW w:w="9322" w:type="dxa"/>
        <w:tblBorders>
          <w:top w:val="single" w:sz="18" w:space="0" w:color="9F788E"/>
          <w:left w:val="single" w:sz="18" w:space="0" w:color="9F788E"/>
          <w:bottom w:val="single" w:sz="18" w:space="0" w:color="9F788E"/>
          <w:right w:val="single" w:sz="18" w:space="0" w:color="9F788E"/>
          <w:insideH w:val="dotted" w:sz="4" w:space="0" w:color="9F788E"/>
          <w:insideV w:val="dotted" w:sz="4" w:space="0" w:color="9F788E"/>
        </w:tblBorders>
        <w:tblLayout w:type="fixed"/>
        <w:tblLook w:val="0000"/>
      </w:tblPr>
      <w:tblGrid>
        <w:gridCol w:w="817"/>
        <w:gridCol w:w="2552"/>
        <w:gridCol w:w="3858"/>
        <w:gridCol w:w="678"/>
        <w:gridCol w:w="708"/>
        <w:gridCol w:w="709"/>
      </w:tblGrid>
      <w:tr w:rsidR="002A111C" w:rsidTr="002A111C">
        <w:tc>
          <w:tcPr>
            <w:tcW w:w="817" w:type="dxa"/>
            <w:tcBorders>
              <w:top w:val="single" w:sz="18" w:space="0" w:color="9F788E"/>
              <w:bottom w:val="dotted" w:sz="4" w:space="0" w:color="9F788E"/>
            </w:tcBorders>
            <w:shd w:val="clear" w:color="auto" w:fill="96686F"/>
          </w:tcPr>
          <w:p w:rsidR="002A111C" w:rsidRDefault="002A111C" w:rsidP="002A111C">
            <w:pPr>
              <w:jc w:val="center"/>
              <w:rPr>
                <w:rFonts w:ascii="宋体" w:hAnsi="宋体" w:hint="eastAsia"/>
                <w:b/>
                <w:color w:val="FFFFFF"/>
                <w:kern w:val="0"/>
                <w:sz w:val="18"/>
                <w:szCs w:val="18"/>
              </w:rPr>
            </w:pPr>
            <w:r>
              <w:rPr>
                <w:rFonts w:ascii="宋体" w:hAnsi="宋体" w:hint="eastAsia"/>
                <w:b/>
                <w:color w:val="FFFFFF"/>
                <w:kern w:val="0"/>
                <w:sz w:val="18"/>
                <w:szCs w:val="18"/>
              </w:rPr>
              <w:t>城市</w:t>
            </w:r>
          </w:p>
        </w:tc>
        <w:tc>
          <w:tcPr>
            <w:tcW w:w="2552" w:type="dxa"/>
            <w:tcBorders>
              <w:top w:val="single" w:sz="18" w:space="0" w:color="9F788E"/>
              <w:bottom w:val="dotted" w:sz="4" w:space="0" w:color="9F788E"/>
            </w:tcBorders>
            <w:shd w:val="clear" w:color="auto" w:fill="96686F"/>
          </w:tcPr>
          <w:p w:rsidR="002A111C" w:rsidRDefault="002A111C" w:rsidP="002A111C">
            <w:pPr>
              <w:jc w:val="center"/>
              <w:rPr>
                <w:rFonts w:ascii="宋体" w:hAnsi="宋体"/>
                <w:b/>
                <w:color w:val="FFFFFF"/>
                <w:kern w:val="0"/>
                <w:sz w:val="18"/>
                <w:szCs w:val="18"/>
              </w:rPr>
            </w:pPr>
            <w:r>
              <w:rPr>
                <w:rFonts w:ascii="宋体" w:hAnsi="宋体" w:hint="eastAsia"/>
                <w:b/>
                <w:color w:val="FFFFFF"/>
                <w:kern w:val="0"/>
                <w:sz w:val="18"/>
                <w:szCs w:val="18"/>
              </w:rPr>
              <w:t>项目名称</w:t>
            </w:r>
          </w:p>
        </w:tc>
        <w:tc>
          <w:tcPr>
            <w:tcW w:w="3858" w:type="dxa"/>
            <w:tcBorders>
              <w:top w:val="single" w:sz="18" w:space="0" w:color="9F788E"/>
              <w:bottom w:val="dotted" w:sz="4" w:space="0" w:color="9F788E"/>
            </w:tcBorders>
            <w:shd w:val="clear" w:color="auto" w:fill="96686F"/>
          </w:tcPr>
          <w:p w:rsidR="002A111C" w:rsidRDefault="002A111C" w:rsidP="002A111C">
            <w:pPr>
              <w:jc w:val="center"/>
              <w:rPr>
                <w:rFonts w:ascii="宋体" w:hAnsi="宋体"/>
                <w:b/>
                <w:color w:val="FFFFFF"/>
                <w:kern w:val="0"/>
                <w:sz w:val="18"/>
                <w:szCs w:val="18"/>
              </w:rPr>
            </w:pPr>
            <w:r>
              <w:rPr>
                <w:rFonts w:ascii="宋体" w:hAnsi="宋体" w:hint="eastAsia"/>
                <w:b/>
                <w:color w:val="FFFFFF"/>
                <w:kern w:val="0"/>
                <w:sz w:val="18"/>
                <w:szCs w:val="18"/>
              </w:rPr>
              <w:t>自费项目特色或内容</w:t>
            </w:r>
          </w:p>
        </w:tc>
        <w:tc>
          <w:tcPr>
            <w:tcW w:w="678" w:type="dxa"/>
            <w:tcBorders>
              <w:top w:val="single" w:sz="18" w:space="0" w:color="9F788E"/>
              <w:bottom w:val="dotted" w:sz="4" w:space="0" w:color="9F788E"/>
            </w:tcBorders>
            <w:shd w:val="clear" w:color="auto" w:fill="96686F"/>
          </w:tcPr>
          <w:p w:rsidR="002A111C" w:rsidRDefault="002A111C" w:rsidP="002A111C">
            <w:pPr>
              <w:pStyle w:val="HTML1"/>
              <w:jc w:val="center"/>
              <w:textAlignment w:val="baseline"/>
              <w:rPr>
                <w:b/>
                <w:color w:val="FFFFFF"/>
                <w:kern w:val="0"/>
                <w:sz w:val="18"/>
                <w:szCs w:val="18"/>
              </w:rPr>
            </w:pPr>
            <w:r>
              <w:rPr>
                <w:rFonts w:hint="eastAsia"/>
                <w:b/>
                <w:color w:val="FFFFFF"/>
                <w:kern w:val="0"/>
                <w:sz w:val="18"/>
                <w:szCs w:val="18"/>
              </w:rPr>
              <w:t>最低人数</w:t>
            </w:r>
          </w:p>
        </w:tc>
        <w:tc>
          <w:tcPr>
            <w:tcW w:w="708" w:type="dxa"/>
            <w:tcBorders>
              <w:top w:val="single" w:sz="18" w:space="0" w:color="9F788E"/>
              <w:bottom w:val="dotted" w:sz="4" w:space="0" w:color="9F788E"/>
            </w:tcBorders>
            <w:shd w:val="clear" w:color="auto" w:fill="96686F"/>
          </w:tcPr>
          <w:p w:rsidR="002A111C" w:rsidRDefault="002A111C" w:rsidP="002A111C">
            <w:pPr>
              <w:pStyle w:val="HTML1"/>
              <w:jc w:val="center"/>
              <w:textAlignment w:val="baseline"/>
              <w:rPr>
                <w:b/>
                <w:color w:val="FFFFFF"/>
                <w:kern w:val="0"/>
                <w:sz w:val="18"/>
                <w:szCs w:val="18"/>
              </w:rPr>
            </w:pPr>
            <w:r>
              <w:rPr>
                <w:rFonts w:hint="eastAsia"/>
                <w:b/>
                <w:color w:val="FFFFFF"/>
                <w:kern w:val="0"/>
                <w:sz w:val="18"/>
                <w:szCs w:val="18"/>
              </w:rPr>
              <w:t>游玩时间</w:t>
            </w:r>
          </w:p>
        </w:tc>
        <w:tc>
          <w:tcPr>
            <w:tcW w:w="709" w:type="dxa"/>
            <w:tcBorders>
              <w:top w:val="single" w:sz="18" w:space="0" w:color="9F788E"/>
              <w:bottom w:val="dotted" w:sz="4" w:space="0" w:color="9F788E"/>
            </w:tcBorders>
            <w:shd w:val="clear" w:color="auto" w:fill="96686F"/>
          </w:tcPr>
          <w:p w:rsidR="002A111C" w:rsidRDefault="002A111C" w:rsidP="002A111C">
            <w:pPr>
              <w:pStyle w:val="HTML1"/>
              <w:jc w:val="center"/>
              <w:textAlignment w:val="baseline"/>
              <w:rPr>
                <w:b/>
                <w:color w:val="FFFFFF"/>
                <w:kern w:val="0"/>
                <w:sz w:val="18"/>
                <w:szCs w:val="18"/>
              </w:rPr>
            </w:pPr>
            <w:r>
              <w:rPr>
                <w:rFonts w:hint="eastAsia"/>
                <w:b/>
                <w:color w:val="FFFFFF"/>
                <w:kern w:val="0"/>
                <w:sz w:val="18"/>
                <w:szCs w:val="18"/>
              </w:rPr>
              <w:t>价格/人</w:t>
            </w:r>
          </w:p>
        </w:tc>
      </w:tr>
      <w:tr w:rsidR="002A111C" w:rsidTr="002A111C">
        <w:trPr>
          <w:trHeight w:val="815"/>
        </w:trPr>
        <w:tc>
          <w:tcPr>
            <w:tcW w:w="817" w:type="dxa"/>
            <w:tcBorders>
              <w:top w:val="dotted" w:sz="4" w:space="0" w:color="9F788E"/>
            </w:tcBorders>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开罗</w:t>
            </w:r>
          </w:p>
        </w:tc>
        <w:tc>
          <w:tcPr>
            <w:tcW w:w="2552" w:type="dxa"/>
            <w:tcBorders>
              <w:top w:val="dotted" w:sz="4" w:space="0" w:color="9F788E"/>
            </w:tcBorders>
          </w:tcPr>
          <w:p w:rsidR="002A111C" w:rsidRP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rPr>
            </w:pPr>
            <w:r w:rsidRPr="002A111C">
              <w:rPr>
                <w:rFonts w:ascii="宋体" w:hAnsi="宋体" w:hint="eastAsia"/>
                <w:bCs/>
                <w:color w:val="244061"/>
                <w:sz w:val="18"/>
                <w:szCs w:val="18"/>
              </w:rPr>
              <w:t>Dinner Cruise （Nile Crystal）with belly dance Show</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尼罗河游船+肚皮舞表演+晚餐</w:t>
            </w:r>
          </w:p>
        </w:tc>
        <w:tc>
          <w:tcPr>
            <w:tcW w:w="3858" w:type="dxa"/>
            <w:tcBorders>
              <w:top w:val="dotted" w:sz="4" w:space="0" w:color="9F788E"/>
            </w:tcBorders>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夜游尼罗河游船票+西式自助餐+车费+司机导游加班费+游船服务生小费</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（1.5小时左右；己扣除当晚餐费用；不含酒水饮品）</w:t>
            </w:r>
          </w:p>
        </w:tc>
        <w:tc>
          <w:tcPr>
            <w:tcW w:w="678" w:type="dxa"/>
            <w:tcBorders>
              <w:top w:val="dotted" w:sz="4" w:space="0" w:color="9F788E"/>
            </w:tcBorders>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p>
        </w:tc>
        <w:tc>
          <w:tcPr>
            <w:tcW w:w="708" w:type="dxa"/>
            <w:tcBorders>
              <w:top w:val="dotted" w:sz="4" w:space="0" w:color="9F788E"/>
            </w:tcBorders>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1.5-2小时</w:t>
            </w:r>
          </w:p>
        </w:tc>
        <w:tc>
          <w:tcPr>
            <w:tcW w:w="709" w:type="dxa"/>
            <w:tcBorders>
              <w:top w:val="dotted" w:sz="4" w:space="0" w:color="9F788E"/>
            </w:tcBorders>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USD8</w:t>
            </w:r>
            <w:r>
              <w:rPr>
                <w:rFonts w:ascii="宋体" w:hAnsi="宋体" w:hint="eastAsia"/>
                <w:bCs/>
                <w:color w:val="244061"/>
                <w:sz w:val="18"/>
                <w:szCs w:val="18"/>
                <w:lang w:val="zh-CN"/>
              </w:rPr>
              <w:t>0</w:t>
            </w:r>
          </w:p>
        </w:tc>
      </w:tr>
      <w:tr w:rsidR="002A111C" w:rsidTr="002A111C">
        <w:trPr>
          <w:trHeight w:val="587"/>
        </w:trPr>
        <w:tc>
          <w:tcPr>
            <w:tcW w:w="817"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开罗</w:t>
            </w:r>
          </w:p>
        </w:tc>
        <w:tc>
          <w:tcPr>
            <w:tcW w:w="2552"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Sound &amp; Light Show at Giza</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吉</w:t>
            </w:r>
            <w:proofErr w:type="gramStart"/>
            <w:r>
              <w:rPr>
                <w:rFonts w:ascii="宋体" w:hAnsi="宋体" w:hint="eastAsia"/>
                <w:bCs/>
                <w:color w:val="244061"/>
                <w:sz w:val="18"/>
                <w:szCs w:val="18"/>
                <w:lang w:val="zh-CN"/>
              </w:rPr>
              <w:t>萨</w:t>
            </w:r>
            <w:proofErr w:type="gramEnd"/>
            <w:r>
              <w:rPr>
                <w:rFonts w:ascii="宋体" w:hAnsi="宋体" w:hint="eastAsia"/>
                <w:bCs/>
                <w:color w:val="244061"/>
                <w:sz w:val="18"/>
                <w:szCs w:val="18"/>
                <w:lang w:val="zh-CN"/>
              </w:rPr>
              <w:t>金字塔声光秀</w:t>
            </w:r>
          </w:p>
        </w:tc>
        <w:tc>
          <w:tcPr>
            <w:tcW w:w="385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1小时左右，预定座位费；门票费，车费；司机导游加班费；</w:t>
            </w:r>
          </w:p>
        </w:tc>
        <w:tc>
          <w:tcPr>
            <w:tcW w:w="67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1小时</w:t>
            </w:r>
          </w:p>
        </w:tc>
        <w:tc>
          <w:tcPr>
            <w:tcW w:w="709"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65</w:t>
            </w:r>
          </w:p>
        </w:tc>
      </w:tr>
      <w:tr w:rsidR="002A111C" w:rsidTr="002A111C">
        <w:trPr>
          <w:trHeight w:val="747"/>
        </w:trPr>
        <w:tc>
          <w:tcPr>
            <w:tcW w:w="817"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开罗</w:t>
            </w:r>
          </w:p>
        </w:tc>
        <w:tc>
          <w:tcPr>
            <w:tcW w:w="2552"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Cairo Tower</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登顶开罗塔</w:t>
            </w:r>
          </w:p>
        </w:tc>
        <w:tc>
          <w:tcPr>
            <w:tcW w:w="3858"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开罗塔门票；车费；停车费，饮料费</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一层餐厅，装修。</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二层咖啡馆</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三层观景台</w:t>
            </w:r>
          </w:p>
        </w:tc>
        <w:tc>
          <w:tcPr>
            <w:tcW w:w="67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1.5小时</w:t>
            </w:r>
          </w:p>
        </w:tc>
        <w:tc>
          <w:tcPr>
            <w:tcW w:w="709"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60</w:t>
            </w:r>
          </w:p>
        </w:tc>
      </w:tr>
      <w:tr w:rsidR="002A111C" w:rsidTr="002A111C">
        <w:tc>
          <w:tcPr>
            <w:tcW w:w="817"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开罗</w:t>
            </w:r>
          </w:p>
        </w:tc>
        <w:tc>
          <w:tcPr>
            <w:tcW w:w="2552"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Ismailia CANAL</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伊斯梅丽亚市苏伊士运河</w:t>
            </w:r>
          </w:p>
        </w:tc>
        <w:tc>
          <w:tcPr>
            <w:tcW w:w="3858"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远程车费，渡船费，司导服务费</w:t>
            </w:r>
          </w:p>
        </w:tc>
        <w:tc>
          <w:tcPr>
            <w:tcW w:w="67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rPr>
            </w:pPr>
            <w:r>
              <w:rPr>
                <w:rFonts w:ascii="宋体" w:hAnsi="宋体" w:hint="eastAsia"/>
                <w:bCs/>
                <w:color w:val="244061"/>
                <w:sz w:val="18"/>
                <w:szCs w:val="18"/>
              </w:rPr>
              <w:t>6</w:t>
            </w:r>
          </w:p>
        </w:tc>
        <w:tc>
          <w:tcPr>
            <w:tcW w:w="70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4小时</w:t>
            </w:r>
          </w:p>
        </w:tc>
        <w:tc>
          <w:tcPr>
            <w:tcW w:w="709"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65</w:t>
            </w:r>
          </w:p>
        </w:tc>
      </w:tr>
      <w:tr w:rsidR="002A111C" w:rsidTr="002A111C">
        <w:tc>
          <w:tcPr>
            <w:tcW w:w="817" w:type="dxa"/>
          </w:tcPr>
          <w:p w:rsidR="002A111C" w:rsidRDefault="002A111C" w:rsidP="002A111C">
            <w:pPr>
              <w:tabs>
                <w:tab w:val="left" w:pos="7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亚历山大</w:t>
            </w:r>
          </w:p>
        </w:tc>
        <w:tc>
          <w:tcPr>
            <w:tcW w:w="2552" w:type="dxa"/>
            <w:vAlign w:val="center"/>
          </w:tcPr>
          <w:p w:rsidR="002A111C" w:rsidRDefault="002A111C" w:rsidP="002A111C">
            <w:pPr>
              <w:tabs>
                <w:tab w:val="left" w:pos="7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夏宫,图书馆（外观），城堡（外观）</w:t>
            </w:r>
          </w:p>
        </w:tc>
        <w:tc>
          <w:tcPr>
            <w:tcW w:w="3858" w:type="dxa"/>
            <w:vAlign w:val="center"/>
          </w:tcPr>
          <w:p w:rsidR="002A111C" w:rsidRDefault="002A111C" w:rsidP="002A111C">
            <w:pPr>
              <w:tabs>
                <w:tab w:val="left" w:pos="7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远程车费，景点门票</w:t>
            </w:r>
          </w:p>
        </w:tc>
        <w:tc>
          <w:tcPr>
            <w:tcW w:w="678" w:type="dxa"/>
          </w:tcPr>
          <w:p w:rsidR="002A111C" w:rsidRDefault="002A111C" w:rsidP="002A111C">
            <w:pPr>
              <w:tabs>
                <w:tab w:val="left" w:pos="72"/>
                <w:tab w:val="left" w:pos="643"/>
              </w:tabs>
              <w:adjustRightInd w:val="0"/>
              <w:snapToGrid w:val="0"/>
              <w:spacing w:line="0" w:lineRule="atLeast"/>
              <w:rPr>
                <w:rFonts w:ascii="宋体" w:hAnsi="宋体" w:hint="eastAsia"/>
                <w:bCs/>
                <w:color w:val="244061"/>
                <w:sz w:val="18"/>
                <w:szCs w:val="18"/>
              </w:rPr>
            </w:pPr>
            <w:r>
              <w:rPr>
                <w:rFonts w:ascii="宋体" w:hAnsi="宋体" w:hint="eastAsia"/>
                <w:bCs/>
                <w:color w:val="244061"/>
                <w:sz w:val="18"/>
                <w:szCs w:val="18"/>
              </w:rPr>
              <w:t>6</w:t>
            </w:r>
          </w:p>
        </w:tc>
        <w:tc>
          <w:tcPr>
            <w:tcW w:w="708" w:type="dxa"/>
          </w:tcPr>
          <w:p w:rsidR="002A111C" w:rsidRDefault="002A111C" w:rsidP="002A111C">
            <w:pPr>
              <w:tabs>
                <w:tab w:val="left" w:pos="7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8小时</w:t>
            </w:r>
          </w:p>
        </w:tc>
        <w:tc>
          <w:tcPr>
            <w:tcW w:w="709" w:type="dxa"/>
            <w:vAlign w:val="center"/>
          </w:tcPr>
          <w:p w:rsidR="002A111C" w:rsidRDefault="002A111C" w:rsidP="002A111C">
            <w:pPr>
              <w:tabs>
                <w:tab w:val="left" w:pos="72"/>
                <w:tab w:val="left" w:pos="643"/>
              </w:tabs>
              <w:adjustRightInd w:val="0"/>
              <w:snapToGrid w:val="0"/>
              <w:spacing w:line="0" w:lineRule="atLeast"/>
              <w:rPr>
                <w:rFonts w:ascii="宋体" w:hAnsi="宋体" w:hint="eastAsia"/>
                <w:bCs/>
                <w:color w:val="244061"/>
                <w:sz w:val="18"/>
                <w:szCs w:val="18"/>
              </w:rPr>
            </w:pPr>
            <w:r>
              <w:rPr>
                <w:rFonts w:ascii="宋体" w:hAnsi="宋体" w:hint="eastAsia"/>
                <w:color w:val="002060"/>
                <w:sz w:val="18"/>
                <w:szCs w:val="18"/>
              </w:rPr>
              <w:t>USD90</w:t>
            </w:r>
          </w:p>
        </w:tc>
      </w:tr>
      <w:tr w:rsidR="002A111C" w:rsidTr="002A111C">
        <w:tc>
          <w:tcPr>
            <w:tcW w:w="817"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proofErr w:type="gramStart"/>
            <w:r>
              <w:rPr>
                <w:rFonts w:ascii="宋体" w:hAnsi="宋体" w:hint="eastAsia"/>
                <w:bCs/>
                <w:color w:val="244061"/>
                <w:sz w:val="18"/>
                <w:szCs w:val="18"/>
                <w:lang w:val="zh-CN"/>
              </w:rPr>
              <w:t>红海洪加达</w:t>
            </w:r>
            <w:proofErr w:type="gramEnd"/>
          </w:p>
        </w:tc>
        <w:tc>
          <w:tcPr>
            <w:tcW w:w="2552"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Sea Trip</w:t>
            </w:r>
          </w:p>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深海垂钓</w:t>
            </w:r>
          </w:p>
        </w:tc>
        <w:tc>
          <w:tcPr>
            <w:tcW w:w="3858"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船票费用（游客可使用船上备用的鱼具也可以自己携带）；导游服务费；</w:t>
            </w:r>
          </w:p>
        </w:tc>
        <w:tc>
          <w:tcPr>
            <w:tcW w:w="67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4小时</w:t>
            </w:r>
          </w:p>
        </w:tc>
        <w:tc>
          <w:tcPr>
            <w:tcW w:w="709" w:type="dxa"/>
            <w:vAlign w:val="center"/>
          </w:tcPr>
          <w:p w:rsidR="002A111C" w:rsidRDefault="002A111C" w:rsidP="002A111C">
            <w:pPr>
              <w:tabs>
                <w:tab w:val="left" w:pos="252"/>
                <w:tab w:val="left" w:pos="643"/>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75</w:t>
            </w:r>
          </w:p>
        </w:tc>
      </w:tr>
      <w:tr w:rsidR="002A111C" w:rsidTr="002A111C">
        <w:tc>
          <w:tcPr>
            <w:tcW w:w="817"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roofErr w:type="gramStart"/>
            <w:r>
              <w:rPr>
                <w:rFonts w:ascii="宋体" w:hAnsi="宋体" w:hint="eastAsia"/>
                <w:bCs/>
                <w:color w:val="244061"/>
                <w:sz w:val="18"/>
                <w:szCs w:val="18"/>
                <w:lang w:val="zh-CN"/>
              </w:rPr>
              <w:t>红海洪加达</w:t>
            </w:r>
            <w:proofErr w:type="gramEnd"/>
          </w:p>
        </w:tc>
        <w:tc>
          <w:tcPr>
            <w:tcW w:w="2552"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Glass Boat In HRG</w:t>
            </w:r>
          </w:p>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红海玻璃船</w:t>
            </w:r>
          </w:p>
        </w:tc>
        <w:tc>
          <w:tcPr>
            <w:tcW w:w="3858"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船票, 导游服务费</w:t>
            </w:r>
          </w:p>
        </w:tc>
        <w:tc>
          <w:tcPr>
            <w:tcW w:w="67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1.5-2小时</w:t>
            </w:r>
          </w:p>
        </w:tc>
        <w:tc>
          <w:tcPr>
            <w:tcW w:w="709"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70</w:t>
            </w:r>
          </w:p>
        </w:tc>
      </w:tr>
      <w:tr w:rsidR="002A111C" w:rsidTr="002A111C">
        <w:tc>
          <w:tcPr>
            <w:tcW w:w="817"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roofErr w:type="gramStart"/>
            <w:r>
              <w:rPr>
                <w:rFonts w:ascii="宋体" w:hAnsi="宋体" w:hint="eastAsia"/>
                <w:bCs/>
                <w:color w:val="244061"/>
                <w:sz w:val="18"/>
                <w:szCs w:val="18"/>
                <w:lang w:val="zh-CN"/>
              </w:rPr>
              <w:t>红海洪加达</w:t>
            </w:r>
            <w:proofErr w:type="gramEnd"/>
          </w:p>
        </w:tc>
        <w:tc>
          <w:tcPr>
            <w:tcW w:w="2552"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Starfish特色海鲜餐</w:t>
            </w:r>
          </w:p>
        </w:tc>
        <w:tc>
          <w:tcPr>
            <w:tcW w:w="3858"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车费，餐费，司导服务费</w:t>
            </w:r>
          </w:p>
        </w:tc>
        <w:tc>
          <w:tcPr>
            <w:tcW w:w="67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2小时</w:t>
            </w:r>
          </w:p>
        </w:tc>
        <w:tc>
          <w:tcPr>
            <w:tcW w:w="709"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USD65</w:t>
            </w:r>
          </w:p>
        </w:tc>
      </w:tr>
      <w:tr w:rsidR="002A111C" w:rsidTr="002A111C">
        <w:trPr>
          <w:trHeight w:val="487"/>
        </w:trPr>
        <w:tc>
          <w:tcPr>
            <w:tcW w:w="817"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roofErr w:type="gramStart"/>
            <w:r>
              <w:rPr>
                <w:rFonts w:ascii="宋体" w:hAnsi="宋体" w:hint="eastAsia"/>
                <w:bCs/>
                <w:color w:val="244061"/>
                <w:sz w:val="18"/>
                <w:szCs w:val="18"/>
                <w:lang w:val="zh-CN"/>
              </w:rPr>
              <w:t>红海洪加达</w:t>
            </w:r>
            <w:proofErr w:type="gramEnd"/>
          </w:p>
        </w:tc>
        <w:tc>
          <w:tcPr>
            <w:tcW w:w="2552"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红海潜水艇</w:t>
            </w:r>
          </w:p>
        </w:tc>
        <w:tc>
          <w:tcPr>
            <w:tcW w:w="3858"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船票+导游服务费</w:t>
            </w:r>
          </w:p>
        </w:tc>
        <w:tc>
          <w:tcPr>
            <w:tcW w:w="67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1-1.5小时</w:t>
            </w:r>
          </w:p>
        </w:tc>
        <w:tc>
          <w:tcPr>
            <w:tcW w:w="709"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100</w:t>
            </w:r>
          </w:p>
        </w:tc>
      </w:tr>
      <w:tr w:rsidR="002A111C" w:rsidTr="002A111C">
        <w:tc>
          <w:tcPr>
            <w:tcW w:w="817"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proofErr w:type="gramStart"/>
            <w:r>
              <w:rPr>
                <w:rFonts w:ascii="宋体" w:hAnsi="宋体" w:hint="eastAsia"/>
                <w:bCs/>
                <w:color w:val="244061"/>
                <w:sz w:val="18"/>
                <w:szCs w:val="18"/>
                <w:lang w:val="zh-CN"/>
              </w:rPr>
              <w:t>红海洪加达</w:t>
            </w:r>
            <w:proofErr w:type="gramEnd"/>
          </w:p>
        </w:tc>
        <w:tc>
          <w:tcPr>
            <w:tcW w:w="2552"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4X4 Jeep Safari at Hurghada</w:t>
            </w:r>
          </w:p>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红海4X4驱越野冲沙</w:t>
            </w:r>
          </w:p>
        </w:tc>
        <w:tc>
          <w:tcPr>
            <w:tcW w:w="3858"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越野车费用；导游服务费；司机车费</w:t>
            </w:r>
          </w:p>
        </w:tc>
        <w:tc>
          <w:tcPr>
            <w:tcW w:w="67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4人</w:t>
            </w:r>
          </w:p>
        </w:tc>
        <w:tc>
          <w:tcPr>
            <w:tcW w:w="708" w:type="dxa"/>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lang w:val="zh-CN"/>
              </w:rPr>
              <w:t>3-4小时</w:t>
            </w:r>
          </w:p>
        </w:tc>
        <w:tc>
          <w:tcPr>
            <w:tcW w:w="709" w:type="dxa"/>
            <w:vAlign w:val="center"/>
          </w:tcPr>
          <w:p w:rsidR="002A111C" w:rsidRDefault="002A111C" w:rsidP="002A111C">
            <w:pPr>
              <w:tabs>
                <w:tab w:val="left" w:pos="252"/>
              </w:tabs>
              <w:adjustRightInd w:val="0"/>
              <w:snapToGrid w:val="0"/>
              <w:spacing w:line="0" w:lineRule="atLeast"/>
              <w:rPr>
                <w:rFonts w:ascii="宋体" w:hAnsi="宋体" w:hint="eastAsia"/>
                <w:bCs/>
                <w:color w:val="244061"/>
                <w:sz w:val="18"/>
                <w:szCs w:val="18"/>
                <w:lang w:val="zh-CN"/>
              </w:rPr>
            </w:pPr>
            <w:r>
              <w:rPr>
                <w:rFonts w:ascii="宋体" w:hAnsi="宋体" w:hint="eastAsia"/>
                <w:bCs/>
                <w:color w:val="244061"/>
                <w:sz w:val="18"/>
                <w:szCs w:val="18"/>
              </w:rPr>
              <w:t>USD</w:t>
            </w:r>
            <w:r>
              <w:rPr>
                <w:rFonts w:ascii="宋体" w:hAnsi="宋体" w:hint="eastAsia"/>
                <w:bCs/>
                <w:color w:val="244061"/>
                <w:sz w:val="18"/>
                <w:szCs w:val="18"/>
                <w:lang w:val="zh-CN"/>
              </w:rPr>
              <w:t>75</w:t>
            </w:r>
          </w:p>
        </w:tc>
      </w:tr>
      <w:tr w:rsidR="002A111C" w:rsidTr="002A111C">
        <w:trPr>
          <w:trHeight w:val="500"/>
        </w:trPr>
        <w:tc>
          <w:tcPr>
            <w:tcW w:w="817"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w:t>
            </w:r>
          </w:p>
        </w:tc>
        <w:tc>
          <w:tcPr>
            <w:tcW w:w="2552" w:type="dxa"/>
          </w:tcPr>
          <w:p w:rsidR="002A111C" w:rsidRDefault="002A111C" w:rsidP="002A111C">
            <w:pPr>
              <w:tabs>
                <w:tab w:val="left" w:pos="72"/>
              </w:tabs>
              <w:adjustRightInd w:val="0"/>
              <w:snapToGrid w:val="0"/>
              <w:spacing w:line="0" w:lineRule="atLeast"/>
              <w:rPr>
                <w:rFonts w:ascii="宋体" w:hAnsi="宋体" w:hint="eastAsia"/>
                <w:color w:val="002060"/>
                <w:sz w:val="18"/>
                <w:szCs w:val="18"/>
              </w:rPr>
            </w:pPr>
            <w:r>
              <w:rPr>
                <w:rFonts w:ascii="宋体" w:hAnsi="宋体" w:hint="eastAsia"/>
                <w:color w:val="002060"/>
                <w:sz w:val="18"/>
                <w:szCs w:val="18"/>
              </w:rPr>
              <w:t>LXR Sound and Light Show</w:t>
            </w:r>
          </w:p>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卢克索卡纳克神庙声光秀</w:t>
            </w:r>
          </w:p>
        </w:tc>
        <w:tc>
          <w:tcPr>
            <w:tcW w:w="3858"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1小时左右，预订座位费，门票费；车费；司机导游加班费</w:t>
            </w:r>
          </w:p>
        </w:tc>
        <w:tc>
          <w:tcPr>
            <w:tcW w:w="67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1小时</w:t>
            </w:r>
          </w:p>
        </w:tc>
        <w:tc>
          <w:tcPr>
            <w:tcW w:w="709"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rPr>
            </w:pPr>
            <w:r>
              <w:rPr>
                <w:rFonts w:ascii="宋体" w:hAnsi="宋体" w:hint="eastAsia"/>
                <w:color w:val="002060"/>
                <w:sz w:val="18"/>
                <w:szCs w:val="18"/>
              </w:rPr>
              <w:t>USD65</w:t>
            </w:r>
          </w:p>
        </w:tc>
      </w:tr>
      <w:tr w:rsidR="002A111C" w:rsidTr="002A111C">
        <w:tc>
          <w:tcPr>
            <w:tcW w:w="817"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w:t>
            </w:r>
          </w:p>
        </w:tc>
        <w:tc>
          <w:tcPr>
            <w:tcW w:w="2552" w:type="dxa"/>
          </w:tcPr>
          <w:p w:rsidR="002A111C" w:rsidRDefault="002A111C" w:rsidP="002A111C">
            <w:pPr>
              <w:tabs>
                <w:tab w:val="left" w:pos="72"/>
              </w:tabs>
              <w:adjustRightInd w:val="0"/>
              <w:snapToGrid w:val="0"/>
              <w:spacing w:line="0" w:lineRule="atLeast"/>
              <w:rPr>
                <w:rFonts w:ascii="宋体" w:hAnsi="宋体" w:hint="eastAsia"/>
                <w:color w:val="002060"/>
                <w:sz w:val="18"/>
                <w:szCs w:val="18"/>
              </w:rPr>
            </w:pPr>
            <w:r>
              <w:rPr>
                <w:rFonts w:ascii="宋体" w:hAnsi="宋体" w:hint="eastAsia"/>
                <w:color w:val="002060"/>
                <w:sz w:val="18"/>
                <w:szCs w:val="18"/>
              </w:rPr>
              <w:t>LXR hot - air balloon</w:t>
            </w:r>
          </w:p>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卢克索热气球</w:t>
            </w:r>
          </w:p>
        </w:tc>
        <w:tc>
          <w:tcPr>
            <w:tcW w:w="3858"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乘热气球俯瞰世界上最大的露天博物馆</w:t>
            </w:r>
          </w:p>
        </w:tc>
        <w:tc>
          <w:tcPr>
            <w:tcW w:w="67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50分钟</w:t>
            </w:r>
          </w:p>
        </w:tc>
        <w:tc>
          <w:tcPr>
            <w:tcW w:w="709"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rPr>
            </w:pPr>
            <w:r>
              <w:rPr>
                <w:rFonts w:ascii="宋体" w:hAnsi="宋体" w:hint="eastAsia"/>
                <w:color w:val="002060"/>
                <w:sz w:val="18"/>
                <w:szCs w:val="18"/>
              </w:rPr>
              <w:t>USD150</w:t>
            </w:r>
          </w:p>
        </w:tc>
      </w:tr>
      <w:tr w:rsidR="002A111C" w:rsidTr="002A111C">
        <w:tc>
          <w:tcPr>
            <w:tcW w:w="817"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w:t>
            </w:r>
          </w:p>
        </w:tc>
        <w:tc>
          <w:tcPr>
            <w:tcW w:w="2552"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帝王谷</w:t>
            </w:r>
          </w:p>
        </w:tc>
        <w:tc>
          <w:tcPr>
            <w:tcW w:w="3858" w:type="dxa"/>
            <w:vAlign w:val="center"/>
          </w:tcPr>
          <w:p w:rsidR="002A111C" w:rsidRDefault="002A111C" w:rsidP="002A111C">
            <w:pPr>
              <w:tabs>
                <w:tab w:val="left" w:pos="72"/>
              </w:tabs>
              <w:adjustRightInd w:val="0"/>
              <w:snapToGrid w:val="0"/>
              <w:spacing w:line="0" w:lineRule="atLeast"/>
              <w:rPr>
                <w:rFonts w:ascii="宋体" w:hAnsi="宋体" w:hint="eastAsia"/>
                <w:color w:val="002060"/>
                <w:sz w:val="18"/>
                <w:szCs w:val="18"/>
              </w:rPr>
            </w:pPr>
            <w:r>
              <w:rPr>
                <w:rFonts w:ascii="宋体" w:hAnsi="宋体" w:hint="eastAsia"/>
                <w:color w:val="002060"/>
                <w:sz w:val="18"/>
                <w:szCs w:val="18"/>
              </w:rPr>
              <w:t>门票；司导服务费；司机车费</w:t>
            </w:r>
          </w:p>
          <w:p w:rsidR="002A111C" w:rsidRPr="002A111C" w:rsidRDefault="002A111C" w:rsidP="002A111C">
            <w:pPr>
              <w:tabs>
                <w:tab w:val="left" w:pos="72"/>
              </w:tabs>
              <w:adjustRightInd w:val="0"/>
              <w:snapToGrid w:val="0"/>
              <w:spacing w:line="0" w:lineRule="atLeast"/>
              <w:rPr>
                <w:rFonts w:ascii="宋体" w:hAnsi="宋体" w:hint="eastAsia"/>
                <w:bCs/>
                <w:color w:val="244061"/>
                <w:sz w:val="18"/>
                <w:szCs w:val="18"/>
              </w:rPr>
            </w:pPr>
            <w:r>
              <w:rPr>
                <w:rFonts w:ascii="宋体" w:hAnsi="宋体" w:hint="eastAsia"/>
                <w:color w:val="002060"/>
                <w:sz w:val="18"/>
                <w:szCs w:val="18"/>
              </w:rPr>
              <w:t>（里面的Tut Ankh </w:t>
            </w:r>
            <w:proofErr w:type="spellStart"/>
            <w:r>
              <w:rPr>
                <w:rFonts w:ascii="宋体" w:hAnsi="宋体" w:hint="eastAsia"/>
                <w:color w:val="002060"/>
                <w:sz w:val="18"/>
                <w:szCs w:val="18"/>
              </w:rPr>
              <w:t>Amun</w:t>
            </w:r>
            <w:proofErr w:type="spellEnd"/>
            <w:r>
              <w:rPr>
                <w:rFonts w:ascii="宋体" w:hAnsi="宋体" w:hint="eastAsia"/>
                <w:color w:val="002060"/>
                <w:sz w:val="18"/>
                <w:szCs w:val="18"/>
              </w:rPr>
              <w:t>的木乃伊另收钱100埃镑，墓室里不给照相）</w:t>
            </w:r>
          </w:p>
        </w:tc>
        <w:tc>
          <w:tcPr>
            <w:tcW w:w="67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6</w:t>
            </w:r>
          </w:p>
        </w:tc>
        <w:tc>
          <w:tcPr>
            <w:tcW w:w="70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2小时</w:t>
            </w:r>
          </w:p>
        </w:tc>
        <w:tc>
          <w:tcPr>
            <w:tcW w:w="709"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rPr>
            </w:pPr>
            <w:r>
              <w:rPr>
                <w:rFonts w:ascii="宋体" w:hAnsi="宋体" w:hint="eastAsia"/>
                <w:color w:val="002060"/>
                <w:sz w:val="18"/>
                <w:szCs w:val="18"/>
              </w:rPr>
              <w:t>USD50</w:t>
            </w:r>
          </w:p>
        </w:tc>
      </w:tr>
      <w:tr w:rsidR="002A111C" w:rsidTr="002A111C">
        <w:tc>
          <w:tcPr>
            <w:tcW w:w="817"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w:t>
            </w:r>
          </w:p>
        </w:tc>
        <w:tc>
          <w:tcPr>
            <w:tcW w:w="2552"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卢克索神庙</w:t>
            </w:r>
          </w:p>
        </w:tc>
        <w:tc>
          <w:tcPr>
            <w:tcW w:w="3858"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门票+司机导游服务费</w:t>
            </w:r>
          </w:p>
        </w:tc>
        <w:tc>
          <w:tcPr>
            <w:tcW w:w="67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p>
        </w:tc>
        <w:tc>
          <w:tcPr>
            <w:tcW w:w="708" w:type="dxa"/>
          </w:tcPr>
          <w:p w:rsidR="002A111C" w:rsidRDefault="002A111C" w:rsidP="002A111C">
            <w:pPr>
              <w:tabs>
                <w:tab w:val="left" w:pos="72"/>
              </w:tabs>
              <w:adjustRightInd w:val="0"/>
              <w:snapToGrid w:val="0"/>
              <w:spacing w:line="0" w:lineRule="atLeast"/>
              <w:rPr>
                <w:rFonts w:ascii="宋体" w:hAnsi="宋体" w:hint="eastAsia"/>
                <w:bCs/>
                <w:color w:val="244061"/>
                <w:sz w:val="18"/>
                <w:szCs w:val="18"/>
                <w:lang w:val="zh-CN"/>
              </w:rPr>
            </w:pPr>
            <w:r>
              <w:rPr>
                <w:rFonts w:ascii="宋体" w:hAnsi="宋体" w:hint="eastAsia"/>
                <w:color w:val="002060"/>
                <w:sz w:val="18"/>
                <w:szCs w:val="18"/>
              </w:rPr>
              <w:t>2小时</w:t>
            </w:r>
          </w:p>
        </w:tc>
        <w:tc>
          <w:tcPr>
            <w:tcW w:w="709" w:type="dxa"/>
            <w:vAlign w:val="center"/>
          </w:tcPr>
          <w:p w:rsidR="002A111C" w:rsidRDefault="002A111C" w:rsidP="002A111C">
            <w:pPr>
              <w:tabs>
                <w:tab w:val="left" w:pos="72"/>
              </w:tabs>
              <w:adjustRightInd w:val="0"/>
              <w:snapToGrid w:val="0"/>
              <w:spacing w:line="0" w:lineRule="atLeast"/>
              <w:rPr>
                <w:rFonts w:ascii="宋体" w:hAnsi="宋体" w:hint="eastAsia"/>
                <w:bCs/>
                <w:color w:val="244061"/>
                <w:sz w:val="18"/>
                <w:szCs w:val="18"/>
              </w:rPr>
            </w:pPr>
            <w:r>
              <w:rPr>
                <w:rFonts w:ascii="宋体" w:hAnsi="宋体" w:hint="eastAsia"/>
                <w:color w:val="002060"/>
                <w:sz w:val="18"/>
                <w:szCs w:val="18"/>
              </w:rPr>
              <w:t>40</w:t>
            </w:r>
          </w:p>
        </w:tc>
      </w:tr>
    </w:tbl>
    <w:p w:rsidR="002A111C" w:rsidRDefault="002A111C" w:rsidP="002A111C">
      <w:pPr>
        <w:tabs>
          <w:tab w:val="left" w:pos="72"/>
        </w:tabs>
        <w:spacing w:line="400" w:lineRule="exact"/>
        <w:ind w:rightChars="34" w:right="71"/>
        <w:rPr>
          <w:rFonts w:ascii="宋体" w:hAnsi="宋体"/>
          <w:color w:val="002060"/>
          <w:sz w:val="18"/>
          <w:szCs w:val="18"/>
        </w:rPr>
      </w:pPr>
      <w:r>
        <w:rPr>
          <w:rFonts w:ascii="宋体" w:hAnsi="宋体" w:hint="eastAsia"/>
          <w:color w:val="002060"/>
          <w:sz w:val="18"/>
          <w:szCs w:val="18"/>
        </w:rPr>
        <w:t>二、相关约定</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本补充协议的签订及履行必须是基于应旅游者要求且经双方协商一致并确认的前提下方可签署：甲方或其</w:t>
      </w:r>
      <w:r>
        <w:rPr>
          <w:rFonts w:ascii="宋体" w:hAnsi="宋体" w:hint="eastAsia"/>
          <w:color w:val="002060"/>
          <w:sz w:val="18"/>
          <w:szCs w:val="18"/>
        </w:rPr>
        <w:lastRenderedPageBreak/>
        <w:t>派出的带团导游不得有任何欺骗或强迫旅游者的行为，如有发生前述行为，旅游者有权拒绝前往并可向组团</w:t>
      </w:r>
      <w:proofErr w:type="gramStart"/>
      <w:r>
        <w:rPr>
          <w:rFonts w:ascii="宋体" w:hAnsi="宋体" w:hint="eastAsia"/>
          <w:color w:val="002060"/>
          <w:sz w:val="18"/>
          <w:szCs w:val="18"/>
        </w:rPr>
        <w:t>社投诉</w:t>
      </w:r>
      <w:proofErr w:type="gramEnd"/>
      <w:r>
        <w:rPr>
          <w:rFonts w:ascii="宋体" w:hAnsi="宋体" w:hint="eastAsia"/>
          <w:color w:val="002060"/>
          <w:sz w:val="18"/>
          <w:szCs w:val="18"/>
        </w:rPr>
        <w:t>或者依法向国家相关部门举报。</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本协议约定的上述自费旅游项目若未达到约定最低参加人数的，双方同意以上自费旅游项目协议条款不生效且对双方均无约束力。</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上述自费旅游项目遇不可抗力或旅行社、履行辅助人已尽合理义务仍不能避免的事件的，双方有权解除，旅行社在扣除已</w:t>
      </w:r>
      <w:proofErr w:type="gramStart"/>
      <w:r>
        <w:rPr>
          <w:rFonts w:ascii="宋体" w:hAnsi="宋体" w:hint="eastAsia"/>
          <w:color w:val="002060"/>
          <w:sz w:val="18"/>
          <w:szCs w:val="18"/>
        </w:rPr>
        <w:t>向履行</w:t>
      </w:r>
      <w:proofErr w:type="gramEnd"/>
      <w:r>
        <w:rPr>
          <w:rFonts w:ascii="宋体" w:hAnsi="宋体" w:hint="eastAsia"/>
          <w:color w:val="002060"/>
          <w:sz w:val="18"/>
          <w:szCs w:val="18"/>
        </w:rPr>
        <w:t>辅助人支付且不可退还的费用后，将余款退还旅游者。</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签署本协议前，旅行社已将自费项目的安全风险注意事项告知旅游者，旅游者应根据身体条件谨慎选择，旅游者在本协议签字确认视为其已明确知悉相应安全风险注意事项，并自愿承受相应后果。</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本协议约定下，由甲方协助安排乙方参加自费旅游项目费用缴纳方式为：□ 在旅行途中发生的其费用直接交带团导游；□ 如在团队出发前即协商确认的</w:t>
      </w:r>
      <w:proofErr w:type="gramStart"/>
      <w:r>
        <w:rPr>
          <w:rFonts w:ascii="宋体" w:hAnsi="宋体" w:hint="eastAsia"/>
          <w:color w:val="002060"/>
          <w:sz w:val="18"/>
          <w:szCs w:val="18"/>
        </w:rPr>
        <w:t>则相关</w:t>
      </w:r>
      <w:proofErr w:type="gramEnd"/>
      <w:r>
        <w:rPr>
          <w:rFonts w:ascii="宋体" w:hAnsi="宋体" w:hint="eastAsia"/>
          <w:color w:val="002060"/>
          <w:sz w:val="18"/>
          <w:szCs w:val="18"/>
        </w:rPr>
        <w:t>费用交组团社。</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旅游者参加非旅行社安排且是在本协议约定以外的自费旅游项目导致的人身安全或财产损失，旅行社将不承担任何责任。</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三、本协议一式二份，双方各执一份，甲方为旅行社，乙方为旅游者本人（18周岁以下未成年人需监护人签名）。</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 xml:space="preserve">甲方：              旅行社                                乙方（旅游者签名）：             </w:t>
      </w:r>
    </w:p>
    <w:p w:rsidR="002A111C" w:rsidRDefault="002A111C" w:rsidP="002A111C">
      <w:pPr>
        <w:tabs>
          <w:tab w:val="left" w:pos="72"/>
        </w:tabs>
        <w:spacing w:line="400" w:lineRule="exact"/>
        <w:ind w:rightChars="34" w:right="71"/>
        <w:rPr>
          <w:rFonts w:ascii="宋体" w:hAnsi="宋体" w:hint="eastAsia"/>
          <w:color w:val="002060"/>
          <w:sz w:val="18"/>
          <w:szCs w:val="18"/>
        </w:rPr>
      </w:pPr>
      <w:r>
        <w:rPr>
          <w:rFonts w:ascii="宋体" w:hAnsi="宋体" w:hint="eastAsia"/>
          <w:color w:val="002060"/>
          <w:sz w:val="18"/>
          <w:szCs w:val="18"/>
        </w:rPr>
        <w:t xml:space="preserve">电话：                                                    电话：                          </w:t>
      </w:r>
    </w:p>
    <w:p w:rsidR="002A111C" w:rsidRDefault="002A111C" w:rsidP="002A111C">
      <w:pPr>
        <w:tabs>
          <w:tab w:val="left" w:pos="72"/>
        </w:tabs>
        <w:spacing w:line="400" w:lineRule="exact"/>
        <w:ind w:rightChars="34" w:right="71"/>
        <w:rPr>
          <w:rFonts w:ascii="微软雅黑" w:eastAsia="微软雅黑" w:hAnsi="微软雅黑" w:cs="微软雅黑" w:hint="eastAsia"/>
          <w:color w:val="333333"/>
          <w:kern w:val="0"/>
          <w:sz w:val="18"/>
          <w:szCs w:val="18"/>
        </w:rPr>
      </w:pPr>
      <w:r>
        <w:rPr>
          <w:rFonts w:ascii="宋体" w:hAnsi="宋体" w:hint="eastAsia"/>
          <w:color w:val="002060"/>
          <w:sz w:val="18"/>
          <w:szCs w:val="18"/>
        </w:rPr>
        <w:t>日期：     年    月     日                                日期：     年    月     日</w:t>
      </w:r>
    </w:p>
    <w:p w:rsidR="00553DAE" w:rsidRPr="002A111C" w:rsidRDefault="00553DAE"/>
    <w:sectPr w:rsidR="00553DAE" w:rsidRPr="002A111C" w:rsidSect="002A11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A902"/>
    <w:multiLevelType w:val="singleLevel"/>
    <w:tmpl w:val="56F7A902"/>
    <w:lvl w:ilvl="0">
      <w:start w:val="1"/>
      <w:numFmt w:val="chineseCounting"/>
      <w:suff w:val="nothing"/>
      <w:lvlText w:val="%1、"/>
      <w:lvlJc w:val="left"/>
    </w:lvl>
  </w:abstractNum>
  <w:abstractNum w:abstractNumId="1">
    <w:nsid w:val="57E3E1AC"/>
    <w:multiLevelType w:val="singleLevel"/>
    <w:tmpl w:val="57E3E1AC"/>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111C"/>
    <w:rsid w:val="002A111C"/>
    <w:rsid w:val="00553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1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HTML 预设格式1"/>
    <w:basedOn w:val="a"/>
    <w:rsid w:val="002A1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456</Words>
  <Characters>2605</Characters>
  <Application>Microsoft Office Word</Application>
  <DocSecurity>0</DocSecurity>
  <Lines>21</Lines>
  <Paragraphs>6</Paragraphs>
  <ScaleCrop>false</ScaleCrop>
  <Company>CHINA</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2016-11-15T07:30:00Z</dcterms:created>
  <dcterms:modified xsi:type="dcterms:W3CDTF">2016-11-15T07:39:00Z</dcterms:modified>
</cp:coreProperties>
</file>